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74DD4" w14:textId="77777777" w:rsidR="00495FD4" w:rsidRDefault="00801535">
      <w:pPr>
        <w:spacing w:after="1135" w:line="276" w:lineRule="auto"/>
        <w:ind w:left="200" w:right="42" w:firstLine="0"/>
        <w:jc w:val="left"/>
        <w:rPr>
          <w:rFonts w:ascii="Liberation Mono" w:eastAsia="Liberation Mono" w:hAnsi="Liberation Mono" w:cs="Liberation Mono"/>
          <w:b/>
          <w:sz w:val="20"/>
          <w:szCs w:val="20"/>
        </w:rPr>
      </w:pPr>
      <w:r>
        <w:rPr>
          <w:rFonts w:ascii="Liberation Mono" w:eastAsia="Liberation Mono" w:hAnsi="Liberation Mono" w:cs="Liberation Mono"/>
          <w:b/>
          <w:sz w:val="20"/>
          <w:szCs w:val="20"/>
        </w:rPr>
        <w:t xml:space="preserve">Dvořákovo gymnázium Kralupy nad Vltavou, </w:t>
      </w:r>
      <w:r>
        <w:rPr>
          <w:rFonts w:ascii="Liberation Mono" w:eastAsia="Liberation Mono" w:hAnsi="Liberation Mono" w:cs="Liberation Mono"/>
          <w:b/>
          <w:sz w:val="20"/>
          <w:szCs w:val="20"/>
        </w:rPr>
        <w:br/>
        <w:t>příspěvková organizace,</w:t>
      </w:r>
      <w:r>
        <w:rPr>
          <w:rFonts w:ascii="Liberation Mono" w:eastAsia="Liberation Mono" w:hAnsi="Liberation Mono" w:cs="Liberation Mono"/>
          <w:b/>
          <w:sz w:val="20"/>
          <w:szCs w:val="20"/>
        </w:rPr>
        <w:br/>
      </w:r>
      <w:r>
        <w:rPr>
          <w:rFonts w:ascii="Liberation Mono" w:eastAsia="Liberation Mono" w:hAnsi="Liberation Mono" w:cs="Liberation Mono"/>
          <w:sz w:val="20"/>
          <w:szCs w:val="20"/>
        </w:rPr>
        <w:t>Dvořákovo nám. 800, 278 01 Kralupy nad Vltavou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4F1A528" wp14:editId="1559BA2A">
            <wp:simplePos x="0" y="0"/>
            <wp:positionH relativeFrom="column">
              <wp:posOffset>127000</wp:posOffset>
            </wp:positionH>
            <wp:positionV relativeFrom="paragraph">
              <wp:posOffset>-191769</wp:posOffset>
            </wp:positionV>
            <wp:extent cx="590550" cy="781050"/>
            <wp:effectExtent l="0" t="0" r="0" b="0"/>
            <wp:wrapSquare wrapText="bothSides" distT="0" distB="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8716534" w14:textId="77777777" w:rsidR="00495FD4" w:rsidRDefault="00801535">
      <w:pPr>
        <w:spacing w:after="746" w:line="240" w:lineRule="auto"/>
        <w:ind w:left="116" w:right="0" w:firstLine="0"/>
        <w:jc w:val="left"/>
      </w:pPr>
      <w:r>
        <w:rPr>
          <w:b/>
          <w:sz w:val="28"/>
          <w:szCs w:val="28"/>
        </w:rPr>
        <w:t>Hodnocení profilové části maturitní zkoušky pro obor vzdělávání 79-41-K/81 a 79-41-K/41</w:t>
      </w:r>
    </w:p>
    <w:p w14:paraId="114455A8" w14:textId="77777777" w:rsidR="00495FD4" w:rsidRDefault="00801535">
      <w:pPr>
        <w:numPr>
          <w:ilvl w:val="0"/>
          <w:numId w:val="1"/>
        </w:numPr>
        <w:spacing w:after="4" w:line="266" w:lineRule="auto"/>
        <w:ind w:right="0" w:hanging="242"/>
        <w:jc w:val="left"/>
      </w:pPr>
      <w:r>
        <w:rPr>
          <w:b/>
        </w:rPr>
        <w:t>Úvod</w:t>
      </w:r>
    </w:p>
    <w:p w14:paraId="0596D8BD" w14:textId="77777777" w:rsidR="00495FD4" w:rsidRDefault="00801535">
      <w:pPr>
        <w:ind w:left="111" w:right="64"/>
      </w:pPr>
      <w:r>
        <w:t>Profilová část maturitní zkoušky je jednou ze dvou částí maturitní zkoušky. Její funkcí je ověřit, jak žáci dosáhli cílů a výsledků vzdělávání stanovených rámcovým a školním vzdělávacím programem, tj. ověřit úroveň klíčových kompetencí žáka.</w:t>
      </w:r>
    </w:p>
    <w:p w14:paraId="070581D0" w14:textId="77777777" w:rsidR="00495FD4" w:rsidRDefault="00801535">
      <w:pPr>
        <w:ind w:left="111" w:right="0"/>
      </w:pPr>
      <w:r>
        <w:t xml:space="preserve">Vyhláška </w:t>
      </w:r>
      <w:r>
        <w:rPr>
          <w:b/>
        </w:rPr>
        <w:t xml:space="preserve">č. 177/2009 Sb., </w:t>
      </w:r>
      <w:r>
        <w:t>§ 24, odst. (1), (4) o bližších podmínkách ukončování vzdělávání ve středních školách maturitní zkouškou, účinná od 1. září 2017, stanovuje:</w:t>
      </w:r>
    </w:p>
    <w:p w14:paraId="7951B00C" w14:textId="77777777" w:rsidR="00495FD4" w:rsidRDefault="00801535">
      <w:pPr>
        <w:spacing w:after="238"/>
        <w:ind w:left="111" w:right="64"/>
      </w:pPr>
      <w:r>
        <w:t xml:space="preserve">(1) Každá zkouška profilové části je hodnocena zvlášť. Způsob hodnocení každé zkoušky nebo její části a způsob stanovení výsledného hodnocení zkoušek navrhuje ředitel školy a nejpozději před započetím zkoušek schvaluje zkušební maturitní komise. </w:t>
      </w:r>
      <w:r>
        <w:rPr>
          <w:b/>
        </w:rPr>
        <w:t>Ředitel školy zveřejní schválený způsob hodnocení na přístupném místě ve škole a zároveň způsobem umožňujícím dálkový přístup, a to nejpozději před začátkem konání první ze zkoušek profilové části.</w:t>
      </w:r>
    </w:p>
    <w:p w14:paraId="4DDBB1FF" w14:textId="77777777" w:rsidR="00495FD4" w:rsidRDefault="00801535">
      <w:pPr>
        <w:numPr>
          <w:ilvl w:val="0"/>
          <w:numId w:val="1"/>
        </w:numPr>
        <w:spacing w:after="4" w:line="266" w:lineRule="auto"/>
        <w:ind w:right="0" w:hanging="242"/>
        <w:jc w:val="left"/>
      </w:pPr>
      <w:r>
        <w:rPr>
          <w:b/>
        </w:rPr>
        <w:t>Klasifikační stupnice</w:t>
      </w:r>
    </w:p>
    <w:p w14:paraId="00486460" w14:textId="77777777" w:rsidR="00495FD4" w:rsidRDefault="00801535">
      <w:pPr>
        <w:ind w:left="111" w:right="1307"/>
      </w:pPr>
      <w:r>
        <w:t xml:space="preserve">Hodnocení každé zkoušky profilové části se provádí podle klasifikační stupnice </w:t>
      </w:r>
    </w:p>
    <w:p w14:paraId="743F5717" w14:textId="77777777" w:rsidR="00495FD4" w:rsidRDefault="00801535">
      <w:pPr>
        <w:ind w:left="111" w:right="1307"/>
      </w:pPr>
      <w:r>
        <w:t>a) 1 – výborný,</w:t>
      </w:r>
    </w:p>
    <w:p w14:paraId="3CFD119B" w14:textId="77777777" w:rsidR="00495FD4" w:rsidRDefault="00801535">
      <w:pPr>
        <w:numPr>
          <w:ilvl w:val="0"/>
          <w:numId w:val="2"/>
        </w:numPr>
        <w:ind w:right="64" w:hanging="260"/>
      </w:pPr>
      <w:r>
        <w:t>2 – chvalitebný,</w:t>
      </w:r>
    </w:p>
    <w:p w14:paraId="53994019" w14:textId="77777777" w:rsidR="00495FD4" w:rsidRDefault="00801535">
      <w:pPr>
        <w:numPr>
          <w:ilvl w:val="0"/>
          <w:numId w:val="2"/>
        </w:numPr>
        <w:ind w:right="64" w:hanging="260"/>
      </w:pPr>
      <w:r>
        <w:t>3 – dobrý,</w:t>
      </w:r>
    </w:p>
    <w:p w14:paraId="393CE24A" w14:textId="77777777" w:rsidR="00495FD4" w:rsidRDefault="00801535">
      <w:pPr>
        <w:numPr>
          <w:ilvl w:val="0"/>
          <w:numId w:val="2"/>
        </w:numPr>
        <w:ind w:right="64" w:hanging="260"/>
      </w:pPr>
      <w:r>
        <w:t>4 – dostatečný,</w:t>
      </w:r>
    </w:p>
    <w:p w14:paraId="6FC1F73D" w14:textId="77777777" w:rsidR="00495FD4" w:rsidRDefault="00801535">
      <w:pPr>
        <w:numPr>
          <w:ilvl w:val="0"/>
          <w:numId w:val="2"/>
        </w:numPr>
        <w:spacing w:after="518"/>
        <w:ind w:right="64" w:hanging="260"/>
      </w:pPr>
      <w:r>
        <w:t>5 – nedostatečný.</w:t>
      </w:r>
    </w:p>
    <w:p w14:paraId="7F36CE80" w14:textId="77777777" w:rsidR="00495FD4" w:rsidRDefault="00801535">
      <w:pPr>
        <w:spacing w:after="4" w:line="266" w:lineRule="auto"/>
        <w:ind w:left="225" w:right="0" w:hanging="240"/>
        <w:jc w:val="left"/>
        <w:rPr>
          <w:b/>
        </w:rPr>
      </w:pPr>
      <w:r>
        <w:t xml:space="preserve">3. </w:t>
      </w:r>
      <w:r>
        <w:rPr>
          <w:b/>
        </w:rPr>
        <w:t xml:space="preserve">Hodnocení profilové části maturitní zkoušky z předmětů Biologie, Dějepis, Fyzika, Chemie, Informatika, Matematika,  Základy společenských věd, Zeměpis: </w:t>
      </w:r>
    </w:p>
    <w:p w14:paraId="749D01B4" w14:textId="77777777" w:rsidR="00495FD4" w:rsidRDefault="00495FD4">
      <w:pPr>
        <w:spacing w:after="4" w:line="266" w:lineRule="auto"/>
        <w:ind w:left="225" w:right="0" w:hanging="240"/>
        <w:jc w:val="left"/>
      </w:pPr>
    </w:p>
    <w:p w14:paraId="4657444F" w14:textId="77777777" w:rsidR="00495FD4" w:rsidRDefault="00801535">
      <w:pPr>
        <w:spacing w:after="4" w:line="266" w:lineRule="auto"/>
        <w:ind w:left="0" w:right="0" w:firstLine="0"/>
        <w:jc w:val="left"/>
      </w:pPr>
      <w:r>
        <w:rPr>
          <w:b/>
        </w:rPr>
        <w:t xml:space="preserve">1– výborný, </w:t>
      </w:r>
      <w:r>
        <w:t>pokud:</w:t>
      </w:r>
    </w:p>
    <w:p w14:paraId="1CE47686" w14:textId="77777777" w:rsidR="00495FD4" w:rsidRDefault="00801535">
      <w:pPr>
        <w:spacing w:after="278" w:line="237" w:lineRule="auto"/>
        <w:ind w:left="116" w:right="0" w:firstLine="0"/>
        <w:jc w:val="left"/>
      </w:pPr>
      <w:r>
        <w:t>Žák ovládá požadované poznatky, fakta, pojmy, definice a zákonitosti uceleně, přesně a plně chápe vztahy mezi nimi. Myslí logicky správně, zřetelně se u něj projevuje samostatnost a tvořivost. Jeho projev je správný, přesný, výstižný.</w:t>
      </w:r>
    </w:p>
    <w:p w14:paraId="03A3B4C5" w14:textId="77777777" w:rsidR="00495FD4" w:rsidRDefault="00801535">
      <w:pPr>
        <w:numPr>
          <w:ilvl w:val="0"/>
          <w:numId w:val="3"/>
        </w:numPr>
        <w:spacing w:after="4" w:line="266" w:lineRule="auto"/>
        <w:ind w:right="0" w:hanging="180"/>
        <w:jc w:val="left"/>
      </w:pPr>
      <w:r>
        <w:rPr>
          <w:b/>
        </w:rPr>
        <w:t xml:space="preserve">– chvalitebný, </w:t>
      </w:r>
      <w:r>
        <w:t>pokud:</w:t>
      </w:r>
    </w:p>
    <w:p w14:paraId="3A5AA4FC" w14:textId="77777777" w:rsidR="00495FD4" w:rsidRDefault="00801535">
      <w:pPr>
        <w:spacing w:after="542"/>
        <w:ind w:left="111" w:right="64"/>
      </w:pPr>
      <w:r>
        <w:t>Žák ovládá požadované poznatky, fakta, pojmy, definice a zákonitosti v podstatě uceleně, přesně a úplně. Myslí správně, v jeho myšlení se projevuje logika a tvořivost. Projev mívá menší nedostatky ve správnosti, přesnosti a výstižnosti.</w:t>
      </w:r>
    </w:p>
    <w:p w14:paraId="427832F6" w14:textId="77777777" w:rsidR="00495FD4" w:rsidRDefault="00495FD4">
      <w:pPr>
        <w:spacing w:after="542"/>
        <w:ind w:left="111" w:right="64"/>
      </w:pPr>
    </w:p>
    <w:p w14:paraId="1847D1EC" w14:textId="77777777" w:rsidR="00495FD4" w:rsidRDefault="00495FD4">
      <w:pPr>
        <w:spacing w:after="542"/>
        <w:ind w:left="111" w:right="64"/>
      </w:pPr>
    </w:p>
    <w:p w14:paraId="164D1A50" w14:textId="77777777" w:rsidR="00495FD4" w:rsidRDefault="00801535">
      <w:pPr>
        <w:numPr>
          <w:ilvl w:val="0"/>
          <w:numId w:val="3"/>
        </w:numPr>
        <w:spacing w:after="4" w:line="266" w:lineRule="auto"/>
        <w:ind w:right="0" w:hanging="180"/>
        <w:jc w:val="left"/>
      </w:pPr>
      <w:r>
        <w:rPr>
          <w:b/>
        </w:rPr>
        <w:lastRenderedPageBreak/>
        <w:t xml:space="preserve">– dobrý, </w:t>
      </w:r>
      <w:r>
        <w:t>pokud:</w:t>
      </w:r>
    </w:p>
    <w:p w14:paraId="26F71ECB" w14:textId="77777777" w:rsidR="00495FD4" w:rsidRDefault="00801535">
      <w:pPr>
        <w:ind w:left="111" w:right="64"/>
      </w:pPr>
      <w:r>
        <w:t>Žák má v ucelenosti, přesnosti a úplnosti osvojených požadovaných poznatků, faktů, pojmů, definic a zákonitostí nepodstatné mezery. Podstatnější nepřesnosti a chyby dovede za pomoci učitele korigovat. Uplatňuje poznatky a provádí hodnocení jevů podle podnětů učitele. Jeho myšlení je vcelku správné, ale málo tvořivé, v jeho logice se vyskytují chyby. V projevu má nedostatky ve správnosti, přesnosti a výstižnosti.</w:t>
      </w:r>
    </w:p>
    <w:p w14:paraId="71652045" w14:textId="77777777" w:rsidR="00495FD4" w:rsidRDefault="00801535">
      <w:pPr>
        <w:numPr>
          <w:ilvl w:val="0"/>
          <w:numId w:val="3"/>
        </w:numPr>
        <w:spacing w:after="4" w:line="266" w:lineRule="auto"/>
        <w:ind w:right="0" w:hanging="180"/>
        <w:jc w:val="left"/>
      </w:pPr>
      <w:r>
        <w:rPr>
          <w:b/>
        </w:rPr>
        <w:t xml:space="preserve">– dostatečný, </w:t>
      </w:r>
      <w:r>
        <w:t>pokud:</w:t>
      </w:r>
    </w:p>
    <w:p w14:paraId="4F93DEB1" w14:textId="77777777" w:rsidR="00495FD4" w:rsidRDefault="00801535">
      <w:pPr>
        <w:spacing w:after="268"/>
        <w:ind w:left="111" w:right="64"/>
      </w:pPr>
      <w:r>
        <w:t>Žák má v ucelenosti, přesnosti a úplnosti osvojených požadovaných poznatků závažné mezery. Při využívání poznatků pro výklad a hodnocení jevů je nesamostatný. V logice myšlení se vyskytují závažné chyby, myšlení není tvořivé. Jeho projev má závažné nedostatky ve správnosti, přesnosti a výstižnosti. Závažné chyby dovede žák s pomocí učitele opravit.</w:t>
      </w:r>
    </w:p>
    <w:p w14:paraId="76D30E3B" w14:textId="77777777" w:rsidR="00495FD4" w:rsidRDefault="00801535">
      <w:pPr>
        <w:numPr>
          <w:ilvl w:val="0"/>
          <w:numId w:val="3"/>
        </w:numPr>
        <w:spacing w:after="4" w:line="266" w:lineRule="auto"/>
        <w:ind w:right="0" w:hanging="180"/>
        <w:jc w:val="left"/>
      </w:pPr>
      <w:r>
        <w:rPr>
          <w:b/>
        </w:rPr>
        <w:t xml:space="preserve">– nedostatečný, </w:t>
      </w:r>
      <w:r>
        <w:t>pokud:</w:t>
      </w:r>
    </w:p>
    <w:p w14:paraId="19D5D6C9" w14:textId="77777777" w:rsidR="00495FD4" w:rsidRDefault="00801535">
      <w:pPr>
        <w:ind w:left="111" w:right="64"/>
      </w:pPr>
      <w:r>
        <w:t>Žák si požadované poznatky neosvojil uceleně, přesně a úplně, má v nich závažné a značné mezery. Při výkladu a hodnocení jevů a zákonitostí nedovede své vědomosti uplatnit ani s podněty učitele. Neprojevuje samostatnost v myšlení, vyskytují se u něho časté logické nedostatky. V projevu má závažné nedostatky ve správnosti, přesnosti i výstižnosti. Chyby nedovede opravit ani s pomocí učitele.</w:t>
      </w:r>
    </w:p>
    <w:p w14:paraId="3B9D9F7B" w14:textId="77777777" w:rsidR="00495FD4" w:rsidRDefault="00495FD4">
      <w:pPr>
        <w:ind w:left="111" w:right="64"/>
      </w:pPr>
    </w:p>
    <w:p w14:paraId="28FC0FF2" w14:textId="77777777" w:rsidR="00495FD4" w:rsidRDefault="00495FD4">
      <w:pPr>
        <w:ind w:left="111" w:right="64"/>
      </w:pPr>
    </w:p>
    <w:p w14:paraId="68FC7DB8" w14:textId="77777777" w:rsidR="00495FD4" w:rsidRDefault="00495FD4">
      <w:pPr>
        <w:ind w:left="111" w:right="64"/>
      </w:pPr>
    </w:p>
    <w:p w14:paraId="396FEEA2" w14:textId="77777777" w:rsidR="00495FD4" w:rsidRDefault="00495FD4">
      <w:pPr>
        <w:ind w:left="111" w:right="64"/>
      </w:pPr>
    </w:p>
    <w:p w14:paraId="1622A12F" w14:textId="77777777" w:rsidR="00495FD4" w:rsidRDefault="00495FD4">
      <w:pPr>
        <w:ind w:left="111" w:right="64"/>
      </w:pPr>
    </w:p>
    <w:p w14:paraId="498E43DE" w14:textId="77777777" w:rsidR="00495FD4" w:rsidRDefault="00801535">
      <w:pPr>
        <w:ind w:left="111" w:right="64"/>
      </w:pPr>
      <w:r>
        <w:t>Schváleno ředitelem školy: 9. 4. 2025</w:t>
      </w:r>
    </w:p>
    <w:p w14:paraId="71CE7389" w14:textId="77777777" w:rsidR="00495FD4" w:rsidRDefault="00495FD4">
      <w:pPr>
        <w:ind w:left="111" w:right="64"/>
      </w:pPr>
    </w:p>
    <w:p w14:paraId="18335172" w14:textId="77777777" w:rsidR="00495FD4" w:rsidRDefault="00495FD4">
      <w:pPr>
        <w:ind w:left="111" w:right="64"/>
      </w:pPr>
    </w:p>
    <w:p w14:paraId="03C853DD" w14:textId="77777777" w:rsidR="00495FD4" w:rsidRDefault="00801535">
      <w:pPr>
        <w:ind w:left="111" w:right="64"/>
      </w:pPr>
      <w:r>
        <w:t xml:space="preserve">                                                                                       RNDr. Andrej Plecháček, v. r.</w:t>
      </w:r>
    </w:p>
    <w:p w14:paraId="374609C5" w14:textId="77777777" w:rsidR="00495FD4" w:rsidRDefault="00801535">
      <w:pPr>
        <w:ind w:left="111" w:right="64"/>
      </w:pPr>
      <w:r>
        <w:t xml:space="preserve">                                                                                             ředitel školy</w:t>
      </w:r>
    </w:p>
    <w:sectPr w:rsidR="00495FD4">
      <w:pgSz w:w="11906" w:h="16838"/>
      <w:pgMar w:top="1327" w:right="1344" w:bottom="490" w:left="1302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auto"/>
    <w:pitch w:val="default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A36D9"/>
    <w:multiLevelType w:val="multilevel"/>
    <w:tmpl w:val="D682F3F0"/>
    <w:lvl w:ilvl="0">
      <w:start w:val="2"/>
      <w:numFmt w:val="lowerLetter"/>
      <w:lvlText w:val="%1)"/>
      <w:lvlJc w:val="left"/>
      <w:pPr>
        <w:ind w:left="361" w:hanging="360"/>
      </w:pPr>
      <w:rPr>
        <w:b w:val="0"/>
        <w:i w:val="0"/>
        <w:strike w:val="0"/>
        <w:color w:val="000000"/>
        <w:sz w:val="24"/>
        <w:szCs w:val="24"/>
        <w:highlight w:val="white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196" w:hanging="360"/>
      </w:pPr>
      <w:rPr>
        <w:b w:val="0"/>
        <w:i w:val="0"/>
        <w:strike w:val="0"/>
        <w:color w:val="000000"/>
        <w:sz w:val="24"/>
        <w:szCs w:val="24"/>
        <w:highlight w:val="white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916" w:hanging="360"/>
      </w:pPr>
      <w:rPr>
        <w:b w:val="0"/>
        <w:i w:val="0"/>
        <w:strike w:val="0"/>
        <w:color w:val="000000"/>
        <w:sz w:val="24"/>
        <w:szCs w:val="24"/>
        <w:highlight w:val="white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636" w:hanging="360"/>
      </w:pPr>
      <w:rPr>
        <w:b w:val="0"/>
        <w:i w:val="0"/>
        <w:strike w:val="0"/>
        <w:color w:val="000000"/>
        <w:sz w:val="24"/>
        <w:szCs w:val="24"/>
        <w:highlight w:val="white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356" w:hanging="360"/>
      </w:pPr>
      <w:rPr>
        <w:b w:val="0"/>
        <w:i w:val="0"/>
        <w:strike w:val="0"/>
        <w:color w:val="000000"/>
        <w:sz w:val="24"/>
        <w:szCs w:val="24"/>
        <w:highlight w:val="white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076" w:hanging="360"/>
      </w:pPr>
      <w:rPr>
        <w:b w:val="0"/>
        <w:i w:val="0"/>
        <w:strike w:val="0"/>
        <w:color w:val="000000"/>
        <w:sz w:val="24"/>
        <w:szCs w:val="24"/>
        <w:highlight w:val="white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796" w:hanging="360"/>
      </w:pPr>
      <w:rPr>
        <w:b w:val="0"/>
        <w:i w:val="0"/>
        <w:strike w:val="0"/>
        <w:color w:val="000000"/>
        <w:sz w:val="24"/>
        <w:szCs w:val="24"/>
        <w:highlight w:val="white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516" w:hanging="360"/>
      </w:pPr>
      <w:rPr>
        <w:b w:val="0"/>
        <w:i w:val="0"/>
        <w:strike w:val="0"/>
        <w:color w:val="000000"/>
        <w:sz w:val="24"/>
        <w:szCs w:val="24"/>
        <w:highlight w:val="white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236" w:hanging="360"/>
      </w:pPr>
      <w:rPr>
        <w:b w:val="0"/>
        <w:i w:val="0"/>
        <w:strike w:val="0"/>
        <w:color w:val="000000"/>
        <w:sz w:val="24"/>
        <w:szCs w:val="24"/>
        <w:highlight w:val="white"/>
        <w:u w:val="none"/>
        <w:vertAlign w:val="baseline"/>
      </w:rPr>
    </w:lvl>
  </w:abstractNum>
  <w:abstractNum w:abstractNumId="1" w15:restartNumberingAfterBreak="0">
    <w:nsid w:val="4B967C49"/>
    <w:multiLevelType w:val="multilevel"/>
    <w:tmpl w:val="890046A6"/>
    <w:lvl w:ilvl="0">
      <w:start w:val="1"/>
      <w:numFmt w:val="decimal"/>
      <w:lvlText w:val="%1."/>
      <w:lvlJc w:val="left"/>
      <w:pPr>
        <w:ind w:left="358" w:hanging="360"/>
      </w:pPr>
      <w:rPr>
        <w:b w:val="0"/>
        <w:i w:val="0"/>
        <w:strike w:val="0"/>
        <w:color w:val="000000"/>
        <w:sz w:val="24"/>
        <w:szCs w:val="24"/>
        <w:highlight w:val="white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196" w:hanging="360"/>
      </w:pPr>
      <w:rPr>
        <w:b w:val="0"/>
        <w:i w:val="0"/>
        <w:strike w:val="0"/>
        <w:color w:val="000000"/>
        <w:sz w:val="24"/>
        <w:szCs w:val="24"/>
        <w:highlight w:val="white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916" w:hanging="360"/>
      </w:pPr>
      <w:rPr>
        <w:b w:val="0"/>
        <w:i w:val="0"/>
        <w:strike w:val="0"/>
        <w:color w:val="000000"/>
        <w:sz w:val="24"/>
        <w:szCs w:val="24"/>
        <w:highlight w:val="white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636" w:hanging="360"/>
      </w:pPr>
      <w:rPr>
        <w:b w:val="0"/>
        <w:i w:val="0"/>
        <w:strike w:val="0"/>
        <w:color w:val="000000"/>
        <w:sz w:val="24"/>
        <w:szCs w:val="24"/>
        <w:highlight w:val="white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356" w:hanging="360"/>
      </w:pPr>
      <w:rPr>
        <w:b w:val="0"/>
        <w:i w:val="0"/>
        <w:strike w:val="0"/>
        <w:color w:val="000000"/>
        <w:sz w:val="24"/>
        <w:szCs w:val="24"/>
        <w:highlight w:val="white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076" w:hanging="360"/>
      </w:pPr>
      <w:rPr>
        <w:b w:val="0"/>
        <w:i w:val="0"/>
        <w:strike w:val="0"/>
        <w:color w:val="000000"/>
        <w:sz w:val="24"/>
        <w:szCs w:val="24"/>
        <w:highlight w:val="white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796" w:hanging="360"/>
      </w:pPr>
      <w:rPr>
        <w:b w:val="0"/>
        <w:i w:val="0"/>
        <w:strike w:val="0"/>
        <w:color w:val="000000"/>
        <w:sz w:val="24"/>
        <w:szCs w:val="24"/>
        <w:highlight w:val="white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516" w:hanging="360"/>
      </w:pPr>
      <w:rPr>
        <w:b w:val="0"/>
        <w:i w:val="0"/>
        <w:strike w:val="0"/>
        <w:color w:val="000000"/>
        <w:sz w:val="24"/>
        <w:szCs w:val="24"/>
        <w:highlight w:val="white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236" w:hanging="360"/>
      </w:pPr>
      <w:rPr>
        <w:b w:val="0"/>
        <w:i w:val="0"/>
        <w:strike w:val="0"/>
        <w:color w:val="000000"/>
        <w:sz w:val="24"/>
        <w:szCs w:val="24"/>
        <w:highlight w:val="white"/>
        <w:u w:val="none"/>
        <w:vertAlign w:val="baseline"/>
      </w:rPr>
    </w:lvl>
  </w:abstractNum>
  <w:abstractNum w:abstractNumId="2" w15:restartNumberingAfterBreak="0">
    <w:nsid w:val="609A42DB"/>
    <w:multiLevelType w:val="multilevel"/>
    <w:tmpl w:val="0FF20D76"/>
    <w:lvl w:ilvl="0">
      <w:start w:val="2"/>
      <w:numFmt w:val="decimal"/>
      <w:lvlText w:val="%1"/>
      <w:lvlJc w:val="left"/>
      <w:pPr>
        <w:ind w:left="180" w:hanging="360"/>
      </w:pPr>
      <w:rPr>
        <w:b w:val="0"/>
        <w:i w:val="0"/>
        <w:strike w:val="0"/>
        <w:color w:val="000000"/>
        <w:sz w:val="24"/>
        <w:szCs w:val="24"/>
        <w:highlight w:val="white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color w:val="000000"/>
        <w:sz w:val="24"/>
        <w:szCs w:val="24"/>
        <w:highlight w:val="white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color w:val="000000"/>
        <w:sz w:val="24"/>
        <w:szCs w:val="24"/>
        <w:highlight w:val="white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color w:val="000000"/>
        <w:sz w:val="24"/>
        <w:szCs w:val="24"/>
        <w:highlight w:val="white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color w:val="000000"/>
        <w:sz w:val="24"/>
        <w:szCs w:val="24"/>
        <w:highlight w:val="white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color w:val="000000"/>
        <w:sz w:val="24"/>
        <w:szCs w:val="24"/>
        <w:highlight w:val="white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color w:val="000000"/>
        <w:sz w:val="24"/>
        <w:szCs w:val="24"/>
        <w:highlight w:val="white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color w:val="000000"/>
        <w:sz w:val="24"/>
        <w:szCs w:val="24"/>
        <w:highlight w:val="white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color w:val="000000"/>
        <w:sz w:val="24"/>
        <w:szCs w:val="24"/>
        <w:highlight w:val="white"/>
        <w:u w:val="none"/>
        <w:vertAlign w:val="baseline"/>
      </w:rPr>
    </w:lvl>
  </w:abstractNum>
  <w:num w:numId="1" w16cid:durableId="964849846">
    <w:abstractNumId w:val="1"/>
  </w:num>
  <w:num w:numId="2" w16cid:durableId="988368504">
    <w:abstractNumId w:val="0"/>
  </w:num>
  <w:num w:numId="3" w16cid:durableId="1514826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FD4"/>
    <w:rsid w:val="00495FD4"/>
    <w:rsid w:val="004B0315"/>
    <w:rsid w:val="0080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C265A"/>
  <w15:docId w15:val="{69F46F69-8B4B-44DE-AC7C-63A18F587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Liberation Serif" w:hAnsi="Liberation Serif" w:cs="Liberation Serif"/>
        <w:sz w:val="24"/>
        <w:szCs w:val="24"/>
        <w:lang w:val="cs-CZ" w:eastAsia="cs-CZ" w:bidi="ar-SA"/>
      </w:rPr>
    </w:rPrDefault>
    <w:pPrDefault>
      <w:pPr>
        <w:spacing w:after="5" w:line="249" w:lineRule="auto"/>
        <w:ind w:left="126" w:right="79" w:hanging="1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493</Words>
  <Characters>2909</Characters>
  <Application>Microsoft Office Word</Application>
  <DocSecurity>0</DocSecurity>
  <Lines>24</Lines>
  <Paragraphs>6</Paragraphs>
  <ScaleCrop>false</ScaleCrop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Hrušovská</dc:creator>
  <cp:lastModifiedBy>Šárka Hrušovská</cp:lastModifiedBy>
  <cp:revision>2</cp:revision>
  <dcterms:created xsi:type="dcterms:W3CDTF">2025-05-23T09:54:00Z</dcterms:created>
  <dcterms:modified xsi:type="dcterms:W3CDTF">2025-05-23T09:54:00Z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Dvořákovo Gymnázium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caleCrop">
    <vt:lpwstr>false</vt:lpwstr>
  </property>
  <property fmtid="{D5CDD505-2E9C-101B-9397-08002B2CF9AE}" pid="8" name="ShareDoc">
    <vt:lpwstr>false</vt:lpwstr>
  </property>
</Properties>
</file>